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21" w:rsidRPr="00915E21" w:rsidRDefault="00915E21" w:rsidP="00915E2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15E21">
        <w:rPr>
          <w:rFonts w:ascii="Arial" w:eastAsia="Times New Roman" w:hAnsi="Arial" w:cs="Arial"/>
          <w:b/>
          <w:bCs/>
          <w:color w:val="000000"/>
          <w:sz w:val="27"/>
          <w:szCs w:val="27"/>
          <w:lang w:eastAsia="ru-RU"/>
        </w:rPr>
        <w:t>МЕТОДОЛОГИЧЕСКИЕ ПОЯСНЕНИЯ</w:t>
      </w:r>
    </w:p>
    <w:p w:rsidR="00915E21" w:rsidRPr="00915E21" w:rsidRDefault="00915E21" w:rsidP="00915E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15E21">
        <w:rPr>
          <w:rFonts w:ascii="Arial" w:eastAsia="Times New Roman" w:hAnsi="Arial" w:cs="Arial"/>
          <w:b/>
          <w:bCs/>
          <w:color w:val="000000"/>
          <w:sz w:val="20"/>
          <w:szCs w:val="20"/>
          <w:lang w:eastAsia="ru-RU"/>
        </w:rPr>
        <w:t>Оборот розничной торговли</w:t>
      </w:r>
      <w:r w:rsidRPr="00915E21">
        <w:rPr>
          <w:rFonts w:ascii="Arial" w:eastAsia="Times New Roman" w:hAnsi="Arial" w:cs="Arial"/>
          <w:color w:val="000000"/>
          <w:sz w:val="20"/>
          <w:szCs w:val="20"/>
          <w:lang w:eastAsia="ru-RU"/>
        </w:rPr>
        <w:t> представляет собой выручку от продажи товаров населению для личного потреблении или использования в домашнем хозяйстве за наличный расчет  или оплаченных по кредитным карточкам, по расчетным счетам банков, по перечислениям со счетов вкладчиков, по поручению физических лиц без открытия счета, посредством платежных карт, что также учитывается как продажа за наличный расчет. Оборот розничной торговли отражает фактическую выручку организаций от продажи товаров населению, включая товары частично или полностью оплаченные органами социальной защиты. Стоимость товаров, проданных отдельным категориям населения со скидкой, также включается в оборот розничной торговли в полном объеме. Не включается стоимость товаров, отпущенных из розничной торговой сети юридическим лицам (в том числе организациям социальной сферы, спецпотребителям и т.п.) и индивидуальным предпринимателям, и оборот общественного питания.</w:t>
      </w:r>
    </w:p>
    <w:p w:rsidR="00915E21" w:rsidRPr="00915E21" w:rsidRDefault="00915E21" w:rsidP="00915E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15E21">
        <w:rPr>
          <w:rFonts w:ascii="Arial" w:eastAsia="Times New Roman" w:hAnsi="Arial" w:cs="Arial"/>
          <w:b/>
          <w:bCs/>
          <w:color w:val="000000"/>
          <w:sz w:val="20"/>
          <w:szCs w:val="20"/>
          <w:lang w:eastAsia="ru-RU"/>
        </w:rPr>
        <w:t>Индекс физического объема оборота розничной торговли </w:t>
      </w:r>
      <w:r w:rsidRPr="00915E21">
        <w:rPr>
          <w:rFonts w:ascii="Arial" w:eastAsia="Times New Roman" w:hAnsi="Arial" w:cs="Arial"/>
          <w:color w:val="000000"/>
          <w:sz w:val="20"/>
          <w:szCs w:val="20"/>
          <w:lang w:eastAsia="ru-RU"/>
        </w:rPr>
        <w:t>- относительный показатель, характеризующий изменение оборота розничной торговли в сравниваемых периодах в сопоставимых ценах.</w:t>
      </w:r>
    </w:p>
    <w:p w:rsidR="00915E21" w:rsidRPr="00915E21" w:rsidRDefault="00915E21" w:rsidP="00915E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15E21">
        <w:rPr>
          <w:rFonts w:ascii="Arial" w:eastAsia="Times New Roman" w:hAnsi="Arial" w:cs="Arial"/>
          <w:b/>
          <w:bCs/>
          <w:color w:val="000000"/>
          <w:sz w:val="20"/>
          <w:szCs w:val="20"/>
          <w:lang w:eastAsia="ru-RU"/>
        </w:rPr>
        <w:t>Индивидуальные индексы</w:t>
      </w:r>
      <w:r w:rsidRPr="00915E21">
        <w:rPr>
          <w:rFonts w:ascii="Arial" w:eastAsia="Times New Roman" w:hAnsi="Arial" w:cs="Arial"/>
          <w:color w:val="000000"/>
          <w:sz w:val="20"/>
          <w:szCs w:val="20"/>
          <w:lang w:eastAsia="ru-RU"/>
        </w:rPr>
        <w:t> отражают изменение объема продажи одного товара, общий (сводный) индекс физического объема оборота характеризует совокупные изменения товарной массы. Этот индекс показывает, как изменился оборот розничной торговли в результате изменения только его физического объема при исключении влияния динамики цен.</w:t>
      </w:r>
    </w:p>
    <w:p w:rsidR="00915E21" w:rsidRPr="00915E21" w:rsidRDefault="00915E21" w:rsidP="00915E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15E21">
        <w:rPr>
          <w:rFonts w:ascii="Arial" w:eastAsia="Times New Roman" w:hAnsi="Arial" w:cs="Arial"/>
          <w:b/>
          <w:bCs/>
          <w:color w:val="000000"/>
          <w:sz w:val="20"/>
          <w:szCs w:val="20"/>
          <w:lang w:eastAsia="ru-RU"/>
        </w:rPr>
        <w:t>Оборот общественного питания</w:t>
      </w:r>
      <w:r w:rsidRPr="00915E21">
        <w:rPr>
          <w:rFonts w:ascii="Arial" w:eastAsia="Times New Roman" w:hAnsi="Arial" w:cs="Arial"/>
          <w:color w:val="000000"/>
          <w:sz w:val="20"/>
          <w:szCs w:val="20"/>
          <w:lang w:eastAsia="ru-RU"/>
        </w:rPr>
        <w:t> - выручка от продажи собственной кулинарной продукции (блюд, кулинарных изделий, полуфабрикатов) и покупных товаров без кулинарной обработки (мучных, кондитерских и хлебобулочных изделий, фруктов, алкогольных и безалкогольных напитков и т.д.)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rsidR="00915E21" w:rsidRPr="00915E21" w:rsidRDefault="00915E21" w:rsidP="00915E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15E21">
        <w:rPr>
          <w:rFonts w:ascii="Arial" w:eastAsia="Times New Roman" w:hAnsi="Arial" w:cs="Arial"/>
          <w:color w:val="000000"/>
          <w:sz w:val="20"/>
          <w:szCs w:val="20"/>
          <w:lang w:eastAsia="ru-RU"/>
        </w:rPr>
        <w:t>В оборот общественного питания включается стоимость кулинарной продукции и покупных товаров, проданных (отпущенных): работникам организаций с последующим удержанием из заработной платы; на дом по заказам населения; на рабочие места по заказам организаций и индивидуальных предпринимателей; транспортным предприятиям в пути следования сухопутного, воздушного, водного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 п.) в объеме фактической стоимости питания; по абонементам, талонам и т.п. в объеме фактической стоимости питания; учащимся школ за счет родительской платы, а также в столовых школ, техникумов, высших учебных заведений и других образовательных учреждений за наличный расчет.</w:t>
      </w:r>
    </w:p>
    <w:p w:rsidR="00915E21" w:rsidRPr="00915E21" w:rsidRDefault="00915E21" w:rsidP="00915E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15E21">
        <w:rPr>
          <w:rFonts w:ascii="Arial" w:eastAsia="Times New Roman" w:hAnsi="Arial" w:cs="Arial"/>
          <w:color w:val="000000"/>
          <w:sz w:val="20"/>
          <w:szCs w:val="20"/>
          <w:lang w:eastAsia="ru-RU"/>
        </w:rPr>
        <w:t>Оборот розничной торговли (оборот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населению товаров (кулинарной продукции) через собственные торговые заведения (заведения общественного питания), или с оплатой через свою кассу. Оборот розничной торговли, кроме того, включает продажу товаров индивидуальными предпринимателями, торгующими вне рынка, физическими лицами на рынках и ярмарках.</w:t>
      </w:r>
    </w:p>
    <w:p w:rsidR="00915E21" w:rsidRPr="00915E21" w:rsidRDefault="00915E21" w:rsidP="00915E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15E21">
        <w:rPr>
          <w:rFonts w:ascii="Arial" w:eastAsia="Times New Roman" w:hAnsi="Arial" w:cs="Arial"/>
          <w:color w:val="000000"/>
          <w:sz w:val="20"/>
          <w:szCs w:val="20"/>
          <w:lang w:eastAsia="ru-RU"/>
        </w:rPr>
        <w:t>Оборот розничной торговли (оборот общественного питания) формируется по данным сплошного статистического наблюдения за предприятиями, не являющимися субъектами малого предпринимательства, которое проводится с месячной периодичностью, а также ежемесячных и ежеквартальных выборочных обследований малых предприятий, рынков и ярмарок, выборочных обследований индивидуальных предпринимателей в розничной торговле и общественном питании с распространением полученных данных на генеральную совокупность.</w:t>
      </w:r>
    </w:p>
    <w:p w:rsidR="00915E21" w:rsidRPr="00915E21" w:rsidRDefault="00915E21" w:rsidP="00915E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15E21">
        <w:rPr>
          <w:rFonts w:ascii="Arial" w:eastAsia="Times New Roman" w:hAnsi="Arial" w:cs="Arial"/>
          <w:color w:val="000000"/>
          <w:sz w:val="20"/>
          <w:szCs w:val="20"/>
          <w:lang w:eastAsia="ru-RU"/>
        </w:rPr>
        <w:t>Кроме того, в соответствии с требованиями системы национальных счетов, эти показатели досчитываются на объемы скрытой деятельности.</w:t>
      </w:r>
    </w:p>
    <w:p w:rsidR="00915E21" w:rsidRPr="00915E21" w:rsidRDefault="00915E21" w:rsidP="00915E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15E21">
        <w:rPr>
          <w:rFonts w:ascii="Arial" w:eastAsia="Times New Roman" w:hAnsi="Arial" w:cs="Arial"/>
          <w:color w:val="000000"/>
          <w:sz w:val="20"/>
          <w:szCs w:val="20"/>
          <w:lang w:eastAsia="ru-RU"/>
        </w:rPr>
        <w:t>Начиная с 2009 года, показатель «оборот продовольственными товарами» заменен на показатель «оборот розничной торговли пищевыми продуктами, включая напитки, и табачными изделиями», он включает стоимость проданных населению продуктов питания, табачных изделий (папиросы, сигареты, курительный табак), алкогольных  и безалкогольных напитков.</w:t>
      </w:r>
    </w:p>
    <w:p w:rsidR="00915E21" w:rsidRPr="00915E21" w:rsidRDefault="00915E21" w:rsidP="00915E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15E21">
        <w:rPr>
          <w:rFonts w:ascii="Arial" w:eastAsia="Times New Roman" w:hAnsi="Arial" w:cs="Arial"/>
          <w:color w:val="000000"/>
          <w:sz w:val="20"/>
          <w:szCs w:val="20"/>
          <w:lang w:eastAsia="ru-RU"/>
        </w:rPr>
        <w:lastRenderedPageBreak/>
        <w:t>Данные по обороту розничной торговли и общественного питания за 2004 г. уточнены по итогам обследований субъектов малого предпринимательства.</w:t>
      </w:r>
    </w:p>
    <w:p w:rsidR="00915E21" w:rsidRPr="00915E21" w:rsidRDefault="00915E21" w:rsidP="00915E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15E21">
        <w:rPr>
          <w:rFonts w:ascii="Arial" w:eastAsia="Times New Roman" w:hAnsi="Arial" w:cs="Arial"/>
          <w:b/>
          <w:bCs/>
          <w:color w:val="000000"/>
          <w:sz w:val="20"/>
          <w:szCs w:val="20"/>
          <w:lang w:eastAsia="ru-RU"/>
        </w:rPr>
        <w:t>Оборот оптовой торговли </w:t>
      </w:r>
      <w:r w:rsidRPr="00915E21">
        <w:rPr>
          <w:rFonts w:ascii="Arial" w:eastAsia="Times New Roman" w:hAnsi="Arial" w:cs="Arial"/>
          <w:color w:val="000000"/>
          <w:sz w:val="20"/>
          <w:szCs w:val="20"/>
          <w:lang w:eastAsia="ru-RU"/>
        </w:rPr>
        <w:t>представляет собой стоимость отгруженных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rsidR="00915E21" w:rsidRPr="00915E21" w:rsidRDefault="00915E21" w:rsidP="00915E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15E21">
        <w:rPr>
          <w:rFonts w:ascii="Arial" w:eastAsia="Times New Roman" w:hAnsi="Arial" w:cs="Arial"/>
          <w:color w:val="000000"/>
          <w:sz w:val="20"/>
          <w:szCs w:val="20"/>
          <w:lang w:eastAsia="ru-RU"/>
        </w:rPr>
        <w:t>Оборот оптовой торговли формируется по данным сплошного статистического наблюдения за крупными и средними организациями, которое проводится с месячной периодичностью, а также ежеквартальных выборочных обследований малых предприятий с распространением полученных данных на генеральную совокупность. Кроме того, в соответствии с требованиями системы национальных счетов показатель оборота оптовой торговли досчитывается на объемы скрытой деятельности.</w:t>
      </w:r>
    </w:p>
    <w:p w:rsidR="00915E21" w:rsidRPr="00915E21" w:rsidRDefault="00915E21" w:rsidP="00915E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15E21">
        <w:rPr>
          <w:rFonts w:ascii="Arial" w:eastAsia="Times New Roman" w:hAnsi="Arial" w:cs="Arial"/>
          <w:color w:val="000000"/>
          <w:sz w:val="20"/>
          <w:szCs w:val="20"/>
          <w:lang w:eastAsia="ru-RU"/>
        </w:rPr>
        <w:t>Динамику оборота оптовой торговли характеризуют индексы физического объема, которые определяются путем сопоставления величины оборота за отчетный и базисный периоды в сопоставимых ценах.</w:t>
      </w:r>
    </w:p>
    <w:p w:rsidR="00915E21" w:rsidRPr="00915E21" w:rsidRDefault="00915E21" w:rsidP="00915E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15E21">
        <w:rPr>
          <w:rFonts w:ascii="Arial" w:eastAsia="Times New Roman" w:hAnsi="Arial" w:cs="Arial"/>
          <w:color w:val="000000"/>
          <w:sz w:val="20"/>
          <w:szCs w:val="20"/>
          <w:lang w:eastAsia="ru-RU"/>
        </w:rPr>
        <w:t>Данные о ввозе (вывозе) продукции (товаров) по субъектам Российской Федерации приводятся по крупным и средним организациям. Данные о ввозе-вывозе по автономным округам могут превышать данные по субъектам Российской Федерации, в которые они входят, за счет ввоза (вывоза) отдельных видов продукции (товаров) на (с) территорию(и) соответствующего субъекта Российской Федерации.</w:t>
      </w:r>
    </w:p>
    <w:p w:rsidR="00915E21" w:rsidRPr="00915E21" w:rsidRDefault="00915E21" w:rsidP="00915E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15E21">
        <w:rPr>
          <w:rFonts w:ascii="Arial" w:eastAsia="Times New Roman" w:hAnsi="Arial" w:cs="Arial"/>
          <w:b/>
          <w:bCs/>
          <w:color w:val="000000"/>
          <w:sz w:val="20"/>
          <w:szCs w:val="20"/>
          <w:lang w:eastAsia="ru-RU"/>
        </w:rPr>
        <w:t>Объем платных услуг</w:t>
      </w:r>
      <w:r w:rsidRPr="00915E21">
        <w:rPr>
          <w:rFonts w:ascii="Arial" w:eastAsia="Times New Roman" w:hAnsi="Arial" w:cs="Arial"/>
          <w:color w:val="000000"/>
          <w:sz w:val="20"/>
          <w:szCs w:val="20"/>
          <w:lang w:eastAsia="ru-RU"/>
        </w:rPr>
        <w:t> </w:t>
      </w:r>
      <w:r w:rsidRPr="00915E21">
        <w:rPr>
          <w:rFonts w:ascii="Arial" w:eastAsia="Times New Roman" w:hAnsi="Arial" w:cs="Arial"/>
          <w:b/>
          <w:bCs/>
          <w:color w:val="000000"/>
          <w:sz w:val="20"/>
          <w:szCs w:val="20"/>
          <w:lang w:eastAsia="ru-RU"/>
        </w:rPr>
        <w:t>населению </w:t>
      </w:r>
      <w:r w:rsidRPr="00915E21">
        <w:rPr>
          <w:rFonts w:ascii="Arial" w:eastAsia="Times New Roman" w:hAnsi="Arial" w:cs="Arial"/>
          <w:color w:val="000000"/>
          <w:sz w:val="20"/>
          <w:szCs w:val="20"/>
          <w:lang w:eastAsia="ru-RU"/>
        </w:rPr>
        <w:t>отражает общий объем денежных средств, уплаченных самим потребителем за оказанную ему (или членам его семьи) услугу или организацией (предприятием), в которой он работает. Производителями услуг выступают исключительно резиденты Российской экономики (организации, предприятия, индивидуальные предприниматели различных видов деятельности, зарегистрированные на территории Российской Федерации). Потребителями услуг являются граждане Российской Федерации, а также граждане других государств (нерезиденты), потребляющие те или иные услуги на территории Российской Федерации. Объем платных услуг включает объемы услуг, оказанных населению крупными и средними организациями и малыми предприятиями, некорпоративными пред-приятиями, гражданами, занимающимися предпринимательской деятельностью без образования юридического лица на индивидуальной основе. Этот показатель формируется на основании данных форм федерального государственного статистического наблюдения и экспертной оценки скрытой и неформальной деятельности на рынке услуг по утвержденной методике.</w:t>
      </w:r>
    </w:p>
    <w:p w:rsidR="00915E21" w:rsidRPr="00915E21" w:rsidRDefault="00915E21" w:rsidP="00915E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15E21">
        <w:rPr>
          <w:rFonts w:ascii="Arial" w:eastAsia="Times New Roman" w:hAnsi="Arial" w:cs="Arial"/>
          <w:b/>
          <w:bCs/>
          <w:color w:val="000000"/>
          <w:sz w:val="20"/>
          <w:szCs w:val="20"/>
          <w:lang w:eastAsia="ru-RU"/>
        </w:rPr>
        <w:t>Платные услуги населению</w:t>
      </w:r>
      <w:r w:rsidRPr="00915E21">
        <w:rPr>
          <w:rFonts w:ascii="Arial" w:eastAsia="Times New Roman" w:hAnsi="Arial" w:cs="Arial"/>
          <w:color w:val="000000"/>
          <w:sz w:val="20"/>
          <w:szCs w:val="20"/>
          <w:lang w:eastAsia="ru-RU"/>
        </w:rPr>
        <w:t> включают: бытовые, транспортные, услуги связи, жилищные, коммунальные, услуги гостиниц и аналогичных средств размещения, услуги системы образования, культуры, туристские, услуги физической культуры и спорта, медицинские, санаторно-оздоровитель-ные, ветеринарные, услуги правового характера и другие.</w:t>
      </w:r>
    </w:p>
    <w:p w:rsidR="00915E21" w:rsidRPr="00915E21" w:rsidRDefault="00915E21" w:rsidP="00915E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15E21">
        <w:rPr>
          <w:rFonts w:ascii="Arial" w:eastAsia="Times New Roman" w:hAnsi="Arial" w:cs="Arial"/>
          <w:color w:val="000000"/>
          <w:sz w:val="20"/>
          <w:szCs w:val="20"/>
          <w:lang w:eastAsia="ru-RU"/>
        </w:rPr>
        <w:t>Сведения по автономным образованиям включены в данные по краю и областям, в состав которых они входят.</w:t>
      </w:r>
    </w:p>
    <w:p w:rsidR="00915E21" w:rsidRPr="00915E21" w:rsidRDefault="00915E21" w:rsidP="00915E21">
      <w:pPr>
        <w:spacing w:after="0" w:line="240" w:lineRule="auto"/>
        <w:rPr>
          <w:rFonts w:ascii="Times New Roman" w:eastAsia="Times New Roman" w:hAnsi="Times New Roman" w:cs="Times New Roman"/>
          <w:color w:val="000000"/>
          <w:sz w:val="27"/>
          <w:szCs w:val="27"/>
          <w:lang w:eastAsia="ru-RU"/>
        </w:rPr>
      </w:pPr>
      <w:r w:rsidRPr="00915E21">
        <w:rPr>
          <w:rFonts w:ascii="Times New Roman" w:eastAsia="Times New Roman" w:hAnsi="Times New Roman" w:cs="Times New Roman"/>
          <w:color w:val="000000"/>
          <w:sz w:val="27"/>
          <w:szCs w:val="27"/>
          <w:lang w:eastAsia="ru-RU"/>
        </w:rPr>
        <w:t> </w:t>
      </w:r>
    </w:p>
    <w:p w:rsidR="00BC18E8" w:rsidRDefault="00BC18E8">
      <w:bookmarkStart w:id="0" w:name="_GoBack"/>
      <w:bookmarkEnd w:id="0"/>
    </w:p>
    <w:sectPr w:rsidR="00BC1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21"/>
    <w:rsid w:val="00915E21"/>
    <w:rsid w:val="00BC1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5E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5E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06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1064</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Червякова Наталья Михайловна</dc:creator>
  <cp:lastModifiedBy>Червякова Наталья Михайловна</cp:lastModifiedBy>
  <cp:revision>1</cp:revision>
  <dcterms:created xsi:type="dcterms:W3CDTF">2018-12-04T07:22:00Z</dcterms:created>
  <dcterms:modified xsi:type="dcterms:W3CDTF">2018-12-04T07:22:00Z</dcterms:modified>
</cp:coreProperties>
</file>